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3" w:firstLineChars="200"/>
        <w:jc w:val="center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深圳市融资租赁行业复合型人才培优</w:t>
      </w:r>
      <w:bookmarkStart w:id="0" w:name="_GoBack"/>
      <w:bookmarkEnd w:id="0"/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课程内容</w:t>
      </w:r>
    </w:p>
    <w:p>
      <w:pPr>
        <w:spacing w:line="560" w:lineRule="exact"/>
        <w:ind w:firstLine="643" w:firstLineChars="200"/>
        <w:jc w:val="center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计划于2017年7月启动培优计划第一阶段，重点从业务、风控、会计、税务、法律、管理、融资等七个方面设计培训内容，满足现阶段企业发展的迫切需求，具体如下：</w:t>
      </w:r>
    </w:p>
    <w:p>
      <w:pPr>
        <w:spacing w:line="560" w:lineRule="exact"/>
        <w:ind w:firstLine="482" w:firstLineChars="15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（一）第一期课程内容</w:t>
      </w:r>
    </w:p>
    <w:p>
      <w:pPr>
        <w:spacing w:line="560" w:lineRule="exact"/>
        <w:rPr>
          <w:rFonts w:ascii="仿宋_GB2312" w:eastAsia="仿宋_GB2312"/>
          <w:szCs w:val="21"/>
        </w:rPr>
      </w:pPr>
    </w:p>
    <w:tbl>
      <w:tblPr>
        <w:tblStyle w:val="11"/>
        <w:tblW w:w="10124" w:type="dxa"/>
        <w:jc w:val="center"/>
        <w:tblInd w:w="-5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269"/>
        <w:gridCol w:w="1326"/>
        <w:gridCol w:w="1440"/>
        <w:gridCol w:w="4665"/>
        <w:gridCol w:w="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24" w:type="dxa"/>
            <w:gridSpan w:val="6"/>
          </w:tcPr>
          <w:p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深圳市融资租赁行业复合型人才培优计划课程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8" w:type="dxa"/>
            <w:vAlign w:val="center"/>
          </w:tcPr>
          <w:p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课程主题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时间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课程名称</w:t>
            </w:r>
          </w:p>
        </w:tc>
        <w:tc>
          <w:tcPr>
            <w:tcW w:w="4665" w:type="dxa"/>
            <w:vAlign w:val="center"/>
          </w:tcPr>
          <w:p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课程大纲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7" w:hRule="atLeast"/>
          <w:jc w:val="center"/>
        </w:trPr>
        <w:tc>
          <w:tcPr>
            <w:tcW w:w="718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业务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04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40" w:type="dxa"/>
            <w:vAlign w:val="center"/>
          </w:tcPr>
          <w:p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融资租赁基本业务实操培优计划班</w:t>
            </w:r>
          </w:p>
        </w:tc>
        <w:tc>
          <w:tcPr>
            <w:tcW w:w="4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  <w:lang w:val="en-US" w:eastAsia="zh-CN"/>
              </w:rPr>
              <w:t>一、融资租赁基础概念分析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br w:type="textWrapping"/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1.融资租赁的基本定义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br w:type="textWrapping"/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2.融资租赁目前发展现状分析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br w:type="textWrapping"/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3.融资租赁未来趋势发展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br w:type="textWrapping"/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4.融资租赁的优势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br w:type="textWrapping"/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5.融资租赁的适用性分析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br w:type="textWrapping"/>
            </w:r>
            <w:r>
              <w:rPr>
                <w:rFonts w:hint="eastAsia"/>
                <w:b/>
                <w:bCs/>
                <w:kern w:val="0"/>
                <w:szCs w:val="21"/>
                <w:lang w:val="en-US" w:eastAsia="zh-CN"/>
              </w:rPr>
              <w:t>二、融资租赁交易结构设计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br w:type="textWrapping"/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1、融资租赁交易的复杂性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br w:type="textWrapping"/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（1）多交易主体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br w:type="textWrapping"/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（2）多法律关系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br w:type="textWrapping"/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（3）基于法律关系有必要设计交易结构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br w:type="textWrapping"/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2、结构设计对交易的促进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br w:type="textWrapping"/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（1）满足客户需求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br w:type="textWrapping"/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（2）资源合理配置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br w:type="textWrapping"/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（3）控制交易风险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br w:type="textWrapping"/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（4）降低交易成本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br w:type="textWrapping"/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3、交易结构设计应遵循的原则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br w:type="textWrapping"/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（1）合法原则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br w:type="textWrapping"/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（2）资产透密原则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br w:type="textWrapping"/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（3）控制成本原则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br w:type="textWrapping"/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（4）控制风险原则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br w:type="textWrapping"/>
            </w:r>
            <w:r>
              <w:rPr>
                <w:rFonts w:hint="eastAsia"/>
                <w:b/>
                <w:bCs/>
                <w:kern w:val="0"/>
                <w:szCs w:val="21"/>
                <w:lang w:val="en-US" w:eastAsia="zh-CN"/>
              </w:rPr>
              <w:t>三、直租模式分析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br w:type="textWrapping"/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1.直租模式基本定义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br w:type="textWrapping"/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2.直租交易结构特征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br w:type="textWrapping"/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3.直租交易开展的限制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br w:type="textWrapping"/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4.直租融资租赁的税收政策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br w:type="textWrapping"/>
            </w:r>
            <w:r>
              <w:rPr>
                <w:rFonts w:hint="eastAsia"/>
                <w:b/>
                <w:bCs/>
                <w:kern w:val="0"/>
                <w:szCs w:val="21"/>
                <w:lang w:val="en-US" w:eastAsia="zh-CN"/>
              </w:rPr>
              <w:t>四、售后回租模式分析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br w:type="textWrapping"/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1.售后回租融资租赁交易特征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br w:type="textWrapping"/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2.售后回租交易开展限制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br w:type="textWrapping"/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3.基础交易结构中的交易要素调整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br w:type="textWrapping"/>
            </w:r>
            <w:r>
              <w:rPr>
                <w:rFonts w:hint="eastAsia"/>
                <w:b/>
                <w:bCs/>
                <w:kern w:val="0"/>
                <w:szCs w:val="21"/>
                <w:lang w:val="en-US" w:eastAsia="zh-CN"/>
              </w:rPr>
              <w:t>五、其他租赁模式分析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br w:type="textWrapping"/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1.联合租赁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br w:type="textWrapping"/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2.杠杆租赁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br w:type="textWrapping"/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3.委托租赁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br w:type="textWrapping"/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4.转租赁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br w:type="textWrapping"/>
            </w:r>
            <w:r>
              <w:rPr>
                <w:rFonts w:hint="eastAsia"/>
                <w:b/>
                <w:bCs/>
                <w:kern w:val="0"/>
                <w:szCs w:val="21"/>
                <w:lang w:val="en-US" w:eastAsia="zh-CN"/>
              </w:rPr>
              <w:t>六、融资租赁业务流程实操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br w:type="textWrapping"/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1.直接租赁业务流程操作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br w:type="textWrapping"/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2.售后回租业务流程操作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br w:type="textWrapping"/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3.联合租赁业务流程操作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br w:type="textWrapping"/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 xml:space="preserve">4.典型融资租赁模式案例分析 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深圳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7" w:hRule="atLeast"/>
          <w:jc w:val="center"/>
        </w:trPr>
        <w:tc>
          <w:tcPr>
            <w:tcW w:w="718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风控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8月1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融资租赁风险控制培优计划班</w:t>
            </w:r>
          </w:p>
        </w:tc>
        <w:tc>
          <w:tcPr>
            <w:tcW w:w="4665" w:type="dxa"/>
            <w:vAlign w:val="center"/>
          </w:tcPr>
          <w:p>
            <w:pPr>
              <w:jc w:val="left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一、融资租赁风险控制概述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1.融资租赁风险控制原理及基本原则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2.融资租赁的风险类型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3.融资租赁的风险控制</w:t>
            </w:r>
          </w:p>
          <w:p>
            <w:pPr>
              <w:jc w:val="left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二、融资租赁风控体系搭建实务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1.融资租赁风险管理的主要策略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2.融资租赁风险管理系统搭建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3.融资租赁风险控制流程设计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4.融资租赁风险管理系统的业务实操案例分析</w:t>
            </w:r>
          </w:p>
          <w:p>
            <w:pPr>
              <w:jc w:val="left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三、融资租赁企业内部风险控制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1.企业内部控制基本规范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2.融资租赁公司内部控制指引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3.融资租赁公司内部控制评价</w:t>
            </w:r>
          </w:p>
          <w:p>
            <w:pPr>
              <w:jc w:val="left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四、承租企业尽职调查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1.承租企业所处行业地位及行业的整体状况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2.查询承租企业股东结构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3.调查承租企业的高管及员工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4.评估企业经营稳定性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5.承租企业的基本财务数据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6.承租企业的重要财务比率指标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7.承租企业资产类往来科目状况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8.承租企业负债类往来科目及借款情况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9.承租企业的固定资产状况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五、融资租赁风险处理案例分析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深圳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8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会计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08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融资租赁会计实务培优计划班</w:t>
            </w:r>
          </w:p>
        </w:tc>
        <w:tc>
          <w:tcPr>
            <w:tcW w:w="4665" w:type="dxa"/>
            <w:vAlign w:val="center"/>
          </w:tcPr>
          <w:p>
            <w:pPr>
              <w:jc w:val="left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一、融资租赁会计基础政策篇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1.融资租赁行业概况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2.融资租赁会计准则历史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3.租赁会计准则的国际变化趋势及影响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4.融资租赁准则适用范围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5.与收益计算有关的基本概念</w:t>
            </w:r>
          </w:p>
          <w:p>
            <w:pPr>
              <w:jc w:val="left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二、出租人的会计处理实务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1.实务案例讲解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2.融资租赁如何报价及报价策略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3.如何测算租金、本金及利息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4.如何计算IRR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5.融资租赁全过程的会计处理详解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6.融资租赁会计处理中的各种问题及处理方案</w:t>
            </w:r>
          </w:p>
          <w:p>
            <w:pPr>
              <w:jc w:val="left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三、融资租赁承租人的会计处理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1.实务案例讲解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2.直接租赁的会计处理和入账价值的确定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3.售后回租的会计处理和入账价值的确定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4.承租人融资租赁会计处理中的各种问题及处理方案</w:t>
            </w:r>
          </w:p>
          <w:p>
            <w:pPr>
              <w:jc w:val="left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四、融资租赁会计处理实务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1.内资融资租赁试点企业——会计处理实务操作经验交流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2.金融租赁公司企业——会计处理实务操作经验交流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3.外商投资融资租赁企业——会计处理实务操作经验交流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深圳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0" w:hRule="atLeast"/>
          <w:jc w:val="center"/>
        </w:trPr>
        <w:tc>
          <w:tcPr>
            <w:tcW w:w="718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税务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9月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22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融资租赁税务筹划培优计划班</w:t>
            </w:r>
          </w:p>
        </w:tc>
        <w:tc>
          <w:tcPr>
            <w:tcW w:w="4665" w:type="dxa"/>
            <w:vAlign w:val="center"/>
          </w:tcPr>
          <w:p>
            <w:pPr>
              <w:jc w:val="left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一、融资租赁最新财税政策解读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1.融资租赁业税收体制改革的趋势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2.新会计准则对融资租赁会计处理的影响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3.融资租赁行业财税政策分析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4.融资租赁税收、法律与会计政策差异</w:t>
            </w:r>
          </w:p>
          <w:p>
            <w:pPr>
              <w:jc w:val="left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二、融资租赁税务筹划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1.税务规划的操作及注意事项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2.税务规划的基本方法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3.融资租赁行业的印花税、契税等小税种的影响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4.直租业务的税务处理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5.回租业务的税务处理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6.杠杆租赁所得税处理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7.其他所得税疑难问题处理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8.合理利用融资租赁税收、法律与会计政策差异，创新融资租赁交易模式；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9.如何为出租人优化资产结构，利用折旧资源，合理税负；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10如何为承租人做出优秀的税务筹划；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三、融资租赁税务筹划案例分析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深圳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0" w:hRule="atLeast"/>
          <w:jc w:val="center"/>
        </w:trPr>
        <w:tc>
          <w:tcPr>
            <w:tcW w:w="718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法律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13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融资租赁法律风险培优计划班</w:t>
            </w:r>
          </w:p>
        </w:tc>
        <w:tc>
          <w:tcPr>
            <w:tcW w:w="4665" w:type="dxa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融资租赁法律基础概述</w:t>
            </w:r>
          </w:p>
          <w:p>
            <w:pPr>
              <w:numPr>
                <w:ilvl w:val="0"/>
                <w:numId w:val="2"/>
              </w:num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融资租赁法律特征</w:t>
            </w:r>
          </w:p>
          <w:p>
            <w:pPr>
              <w:numPr>
                <w:ilvl w:val="0"/>
                <w:numId w:val="2"/>
              </w:num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融资租赁法律环境分析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二</w:t>
            </w:r>
            <w:r>
              <w:rPr>
                <w:rFonts w:hint="eastAsia"/>
                <w:b/>
                <w:bCs/>
                <w:kern w:val="0"/>
                <w:szCs w:val="21"/>
              </w:rPr>
              <w:t>、融资租赁法律政策解读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1.《融资租赁合同法》剖析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2.《中华人民共和国合同法》剖析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3.《融资租赁司法解释》剖析</w:t>
            </w:r>
          </w:p>
          <w:p>
            <w:pPr>
              <w:jc w:val="left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三、融资租赁法律风险分析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1.融资租赁租赁物法律风险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2.融资租赁合同风险分析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3.融资租赁合同担保风险分析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4.融资租赁抵押风险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5.融资租赁质押风险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6.租赁物的价值确定形式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四、融资租赁法律案件解读分析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深圳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718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运营管理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10月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27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融资租赁运营管理培优计划班</w:t>
            </w:r>
          </w:p>
        </w:tc>
        <w:tc>
          <w:tcPr>
            <w:tcW w:w="4665" w:type="dxa"/>
            <w:vAlign w:val="center"/>
          </w:tcPr>
          <w:p>
            <w:pPr>
              <w:jc w:val="left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一、融资租赁公司业务方向选择与思考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1.战略定位与品牌塑造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2.经营思路的清晰化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3.融资租赁模式的个性化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4.融资租赁服务的综合化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5.客户选择的集群化</w:t>
            </w:r>
          </w:p>
          <w:p>
            <w:pPr>
              <w:jc w:val="left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二、融资租赁团队管理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1.租赁细分行业进行针对性管理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2.团队内部进行专业化培训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3.如何有效进行团队协作和磨合</w:t>
            </w:r>
          </w:p>
          <w:p>
            <w:pPr>
              <w:jc w:val="left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三、融资租赁融资渠道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1.融资租赁融资方式类型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2.如何有效搭建融资渠道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3.如何进行银租结合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4.融资租赁保理模式分析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5.融资租赁ABS方式分析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深圳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6" w:hRule="atLeast"/>
          <w:jc w:val="center"/>
        </w:trPr>
        <w:tc>
          <w:tcPr>
            <w:tcW w:w="718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资产证券化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融资租赁资产证券化培优计划班</w:t>
            </w:r>
          </w:p>
        </w:tc>
        <w:tc>
          <w:tcPr>
            <w:tcW w:w="4665" w:type="dxa"/>
            <w:vAlign w:val="center"/>
          </w:tcPr>
          <w:p>
            <w:pPr>
              <w:jc w:val="left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一、融资租赁资产证券化概述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1.资产证券化的起源和概念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2.资产证券化在中国的分类和发展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3.融资租赁和资产证券化的结合和发展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4.租赁公司资产证券化的好处</w:t>
            </w:r>
          </w:p>
          <w:p>
            <w:pPr>
              <w:numPr>
                <w:ilvl w:val="0"/>
                <w:numId w:val="3"/>
              </w:numPr>
              <w:jc w:val="left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融资租赁资产证券化实操流程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1.如何选择特殊目的载体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2.专项资产管理计划交易结构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3.资产证券化主要的参与主体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4.开展资产证券化之前的准备工作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5.如何挑选合适的基础资产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6.资产证券化产品的评级逻辑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7.融资租赁资产证券化的结构设计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8.融资租赁资产证券化常见的增信措施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9.资产证券化的费用支持和成本测算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10.公募资产证券化的发行流程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11.发行成功后的贷后管理工作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三、融资租赁资产证券化案例剖析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深圳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3" w:hRule="atLeast"/>
          <w:jc w:val="center"/>
        </w:trPr>
        <w:tc>
          <w:tcPr>
            <w:tcW w:w="718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资产管理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11月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24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融资租赁租后管理培优计划班</w:t>
            </w:r>
          </w:p>
        </w:tc>
        <w:tc>
          <w:tcPr>
            <w:tcW w:w="4665" w:type="dxa"/>
            <w:vAlign w:val="center"/>
          </w:tcPr>
          <w:p>
            <w:pPr>
              <w:jc w:val="left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一、融资租赁租后管理概述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1.融资租赁租后管理的定义和基本形式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2.当前融资租赁资产管理的市场情况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3.未来融资租赁租后管理的形式</w:t>
            </w:r>
          </w:p>
          <w:p>
            <w:pPr>
              <w:jc w:val="left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二、融资租赁租后管理流程剖析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1.承租人经营和财务状况分析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2.租赁物定期检查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3.担保人情况分析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4.抵质押物检查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5.租后管理检查报告设计和撰写</w:t>
            </w:r>
          </w:p>
          <w:p>
            <w:pPr>
              <w:jc w:val="left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三、融资租赁不良资产处置方法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1.直接追偿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2.资产转让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3.破产受偿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4.债转股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5.资产重组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6.资产托管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7.资产证券化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四、典型融资租赁项目租后管理案例分析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深圳</w:t>
            </w:r>
          </w:p>
        </w:tc>
      </w:tr>
    </w:tbl>
    <w:p>
      <w:pPr>
        <w:numPr>
          <w:numId w:val="0"/>
        </w:numPr>
        <w:spacing w:line="560" w:lineRule="exact"/>
        <w:rPr>
          <w:b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35678469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53D4E"/>
    <w:multiLevelType w:val="singleLevel"/>
    <w:tmpl w:val="59353D4E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5935403B"/>
    <w:multiLevelType w:val="singleLevel"/>
    <w:tmpl w:val="5935403B"/>
    <w:lvl w:ilvl="0" w:tentative="0">
      <w:start w:val="1"/>
      <w:numFmt w:val="chineseCounting"/>
      <w:suff w:val="nothing"/>
      <w:lvlText w:val="%1、"/>
      <w:lvlJc w:val="left"/>
    </w:lvl>
  </w:abstractNum>
  <w:abstractNum w:abstractNumId="2">
    <w:nsid w:val="5935404F"/>
    <w:multiLevelType w:val="singleLevel"/>
    <w:tmpl w:val="5935404F"/>
    <w:lvl w:ilvl="0" w:tentative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90"/>
    <w:rsid w:val="00000D53"/>
    <w:rsid w:val="00020482"/>
    <w:rsid w:val="00023AA8"/>
    <w:rsid w:val="00032E08"/>
    <w:rsid w:val="00035B37"/>
    <w:rsid w:val="00037901"/>
    <w:rsid w:val="00063383"/>
    <w:rsid w:val="00064A63"/>
    <w:rsid w:val="00065882"/>
    <w:rsid w:val="0006594D"/>
    <w:rsid w:val="000A2453"/>
    <w:rsid w:val="000B01D7"/>
    <w:rsid w:val="000C4BAF"/>
    <w:rsid w:val="000E5D66"/>
    <w:rsid w:val="000F4106"/>
    <w:rsid w:val="000F674F"/>
    <w:rsid w:val="00106545"/>
    <w:rsid w:val="00126463"/>
    <w:rsid w:val="001304CD"/>
    <w:rsid w:val="00137231"/>
    <w:rsid w:val="00141933"/>
    <w:rsid w:val="00142B42"/>
    <w:rsid w:val="001471B6"/>
    <w:rsid w:val="00147E32"/>
    <w:rsid w:val="00153813"/>
    <w:rsid w:val="00156846"/>
    <w:rsid w:val="00161398"/>
    <w:rsid w:val="00166F33"/>
    <w:rsid w:val="001678FB"/>
    <w:rsid w:val="00173E1F"/>
    <w:rsid w:val="0018228F"/>
    <w:rsid w:val="001840D4"/>
    <w:rsid w:val="001857B7"/>
    <w:rsid w:val="0018638B"/>
    <w:rsid w:val="00194C33"/>
    <w:rsid w:val="001A5A8C"/>
    <w:rsid w:val="001A787B"/>
    <w:rsid w:val="001B13DD"/>
    <w:rsid w:val="001B2B25"/>
    <w:rsid w:val="001C0EF0"/>
    <w:rsid w:val="001C1E07"/>
    <w:rsid w:val="001D414C"/>
    <w:rsid w:val="001D6E3B"/>
    <w:rsid w:val="001E3917"/>
    <w:rsid w:val="001F7C9D"/>
    <w:rsid w:val="00200FEC"/>
    <w:rsid w:val="002012D9"/>
    <w:rsid w:val="002038F3"/>
    <w:rsid w:val="00205710"/>
    <w:rsid w:val="0021719A"/>
    <w:rsid w:val="00225E10"/>
    <w:rsid w:val="002423F4"/>
    <w:rsid w:val="00246B9B"/>
    <w:rsid w:val="002527E7"/>
    <w:rsid w:val="0025286E"/>
    <w:rsid w:val="00270617"/>
    <w:rsid w:val="00275881"/>
    <w:rsid w:val="00283012"/>
    <w:rsid w:val="00285582"/>
    <w:rsid w:val="0029199C"/>
    <w:rsid w:val="002A3FF7"/>
    <w:rsid w:val="002B051D"/>
    <w:rsid w:val="002B1D9F"/>
    <w:rsid w:val="002C3BF9"/>
    <w:rsid w:val="002D3843"/>
    <w:rsid w:val="002D5222"/>
    <w:rsid w:val="002E2AD1"/>
    <w:rsid w:val="002F243D"/>
    <w:rsid w:val="0030115A"/>
    <w:rsid w:val="00320547"/>
    <w:rsid w:val="00321FBF"/>
    <w:rsid w:val="00323A53"/>
    <w:rsid w:val="0032676E"/>
    <w:rsid w:val="00341C08"/>
    <w:rsid w:val="00343100"/>
    <w:rsid w:val="00344621"/>
    <w:rsid w:val="00350458"/>
    <w:rsid w:val="00350DC6"/>
    <w:rsid w:val="00351495"/>
    <w:rsid w:val="00353BB5"/>
    <w:rsid w:val="003738FD"/>
    <w:rsid w:val="00382255"/>
    <w:rsid w:val="00387F33"/>
    <w:rsid w:val="00391FB4"/>
    <w:rsid w:val="00397E19"/>
    <w:rsid w:val="00397F57"/>
    <w:rsid w:val="003B5D7F"/>
    <w:rsid w:val="003C4C8A"/>
    <w:rsid w:val="003D2EEF"/>
    <w:rsid w:val="003E52EF"/>
    <w:rsid w:val="003F53D6"/>
    <w:rsid w:val="0040143A"/>
    <w:rsid w:val="004202B4"/>
    <w:rsid w:val="00435D27"/>
    <w:rsid w:val="004415F9"/>
    <w:rsid w:val="00464162"/>
    <w:rsid w:val="0048395B"/>
    <w:rsid w:val="004A776F"/>
    <w:rsid w:val="004C1BD7"/>
    <w:rsid w:val="004D50F1"/>
    <w:rsid w:val="004E0247"/>
    <w:rsid w:val="004E60BB"/>
    <w:rsid w:val="004F6F75"/>
    <w:rsid w:val="005070D3"/>
    <w:rsid w:val="00520D9C"/>
    <w:rsid w:val="00532F3B"/>
    <w:rsid w:val="0055043E"/>
    <w:rsid w:val="00554ED1"/>
    <w:rsid w:val="0055635E"/>
    <w:rsid w:val="005644FC"/>
    <w:rsid w:val="005716B5"/>
    <w:rsid w:val="00573555"/>
    <w:rsid w:val="00577460"/>
    <w:rsid w:val="00593404"/>
    <w:rsid w:val="005A08A4"/>
    <w:rsid w:val="005A1F84"/>
    <w:rsid w:val="005B7E70"/>
    <w:rsid w:val="005C40D7"/>
    <w:rsid w:val="005C6334"/>
    <w:rsid w:val="005C65C8"/>
    <w:rsid w:val="005E7196"/>
    <w:rsid w:val="005F604A"/>
    <w:rsid w:val="005F6DF3"/>
    <w:rsid w:val="005F7DD5"/>
    <w:rsid w:val="00604623"/>
    <w:rsid w:val="00616FC4"/>
    <w:rsid w:val="00620F7E"/>
    <w:rsid w:val="0062699C"/>
    <w:rsid w:val="00636E6C"/>
    <w:rsid w:val="006405D3"/>
    <w:rsid w:val="00642A32"/>
    <w:rsid w:val="00643D54"/>
    <w:rsid w:val="00645DDA"/>
    <w:rsid w:val="006507ED"/>
    <w:rsid w:val="00663C69"/>
    <w:rsid w:val="00684F19"/>
    <w:rsid w:val="00692735"/>
    <w:rsid w:val="006A23DB"/>
    <w:rsid w:val="006B0472"/>
    <w:rsid w:val="006B4AF9"/>
    <w:rsid w:val="006C40A7"/>
    <w:rsid w:val="006D6085"/>
    <w:rsid w:val="006D6C79"/>
    <w:rsid w:val="006E7277"/>
    <w:rsid w:val="006F010B"/>
    <w:rsid w:val="00705E0E"/>
    <w:rsid w:val="00710596"/>
    <w:rsid w:val="007161A4"/>
    <w:rsid w:val="00737890"/>
    <w:rsid w:val="0074203E"/>
    <w:rsid w:val="0074669C"/>
    <w:rsid w:val="00747BDD"/>
    <w:rsid w:val="007504CA"/>
    <w:rsid w:val="00764365"/>
    <w:rsid w:val="00764F9E"/>
    <w:rsid w:val="00772DA6"/>
    <w:rsid w:val="00775E22"/>
    <w:rsid w:val="0078759F"/>
    <w:rsid w:val="007A0236"/>
    <w:rsid w:val="007A3B53"/>
    <w:rsid w:val="007C59DD"/>
    <w:rsid w:val="007F3534"/>
    <w:rsid w:val="00816469"/>
    <w:rsid w:val="008165EC"/>
    <w:rsid w:val="00827684"/>
    <w:rsid w:val="00831DAA"/>
    <w:rsid w:val="00834DE0"/>
    <w:rsid w:val="008447B7"/>
    <w:rsid w:val="008512E0"/>
    <w:rsid w:val="00860F00"/>
    <w:rsid w:val="00861AEE"/>
    <w:rsid w:val="00882884"/>
    <w:rsid w:val="00887982"/>
    <w:rsid w:val="008915A0"/>
    <w:rsid w:val="00894547"/>
    <w:rsid w:val="00894AA7"/>
    <w:rsid w:val="008B65E0"/>
    <w:rsid w:val="008B6D5D"/>
    <w:rsid w:val="008B7CB9"/>
    <w:rsid w:val="008C38E2"/>
    <w:rsid w:val="008D40F0"/>
    <w:rsid w:val="008D4D00"/>
    <w:rsid w:val="008F0BC4"/>
    <w:rsid w:val="008F2D3C"/>
    <w:rsid w:val="00903321"/>
    <w:rsid w:val="00905EE5"/>
    <w:rsid w:val="00913680"/>
    <w:rsid w:val="009172EE"/>
    <w:rsid w:val="009709BB"/>
    <w:rsid w:val="00987149"/>
    <w:rsid w:val="00997455"/>
    <w:rsid w:val="009A14DC"/>
    <w:rsid w:val="009A6542"/>
    <w:rsid w:val="009B3FDD"/>
    <w:rsid w:val="009C1B9F"/>
    <w:rsid w:val="009D03DB"/>
    <w:rsid w:val="009D1375"/>
    <w:rsid w:val="009D5A68"/>
    <w:rsid w:val="009D6C73"/>
    <w:rsid w:val="009E2C27"/>
    <w:rsid w:val="009E7EA1"/>
    <w:rsid w:val="009F14F3"/>
    <w:rsid w:val="00A01207"/>
    <w:rsid w:val="00A2495C"/>
    <w:rsid w:val="00A32CD5"/>
    <w:rsid w:val="00A370C2"/>
    <w:rsid w:val="00A43954"/>
    <w:rsid w:val="00A453C3"/>
    <w:rsid w:val="00A457E7"/>
    <w:rsid w:val="00A64DE5"/>
    <w:rsid w:val="00A75E0A"/>
    <w:rsid w:val="00A77204"/>
    <w:rsid w:val="00A97887"/>
    <w:rsid w:val="00AA681C"/>
    <w:rsid w:val="00AB5510"/>
    <w:rsid w:val="00AC7716"/>
    <w:rsid w:val="00AD54AD"/>
    <w:rsid w:val="00AE3A83"/>
    <w:rsid w:val="00AF4E8B"/>
    <w:rsid w:val="00AF524A"/>
    <w:rsid w:val="00B06334"/>
    <w:rsid w:val="00B35BFB"/>
    <w:rsid w:val="00B4077D"/>
    <w:rsid w:val="00B46C2C"/>
    <w:rsid w:val="00B476D8"/>
    <w:rsid w:val="00B53DE3"/>
    <w:rsid w:val="00B61B0F"/>
    <w:rsid w:val="00B74D79"/>
    <w:rsid w:val="00B752F4"/>
    <w:rsid w:val="00B83E58"/>
    <w:rsid w:val="00B84312"/>
    <w:rsid w:val="00B84E5B"/>
    <w:rsid w:val="00B93E94"/>
    <w:rsid w:val="00BB3571"/>
    <w:rsid w:val="00BB63AB"/>
    <w:rsid w:val="00BC696D"/>
    <w:rsid w:val="00BC748F"/>
    <w:rsid w:val="00BE6D8D"/>
    <w:rsid w:val="00BF57F2"/>
    <w:rsid w:val="00BF5DDF"/>
    <w:rsid w:val="00C051B5"/>
    <w:rsid w:val="00C33E83"/>
    <w:rsid w:val="00C33F1D"/>
    <w:rsid w:val="00C37283"/>
    <w:rsid w:val="00C43626"/>
    <w:rsid w:val="00C446B5"/>
    <w:rsid w:val="00C528BE"/>
    <w:rsid w:val="00C56139"/>
    <w:rsid w:val="00C5638B"/>
    <w:rsid w:val="00C56BF8"/>
    <w:rsid w:val="00C74ECD"/>
    <w:rsid w:val="00C856F0"/>
    <w:rsid w:val="00CA2138"/>
    <w:rsid w:val="00CB1324"/>
    <w:rsid w:val="00CB5196"/>
    <w:rsid w:val="00CD0250"/>
    <w:rsid w:val="00CD3066"/>
    <w:rsid w:val="00CD43ED"/>
    <w:rsid w:val="00CD58C5"/>
    <w:rsid w:val="00CD5943"/>
    <w:rsid w:val="00CD6C3E"/>
    <w:rsid w:val="00CE366F"/>
    <w:rsid w:val="00CE6457"/>
    <w:rsid w:val="00CF4F0F"/>
    <w:rsid w:val="00CF5061"/>
    <w:rsid w:val="00CF72E0"/>
    <w:rsid w:val="00D000D9"/>
    <w:rsid w:val="00D0354B"/>
    <w:rsid w:val="00D056DD"/>
    <w:rsid w:val="00D06CFA"/>
    <w:rsid w:val="00D13BEA"/>
    <w:rsid w:val="00D22599"/>
    <w:rsid w:val="00D25755"/>
    <w:rsid w:val="00D41DCF"/>
    <w:rsid w:val="00D47156"/>
    <w:rsid w:val="00D473A8"/>
    <w:rsid w:val="00D51A44"/>
    <w:rsid w:val="00D53A5F"/>
    <w:rsid w:val="00D543A9"/>
    <w:rsid w:val="00D61563"/>
    <w:rsid w:val="00D75938"/>
    <w:rsid w:val="00D910E9"/>
    <w:rsid w:val="00DA36A8"/>
    <w:rsid w:val="00DB05BC"/>
    <w:rsid w:val="00DB6D86"/>
    <w:rsid w:val="00DC2209"/>
    <w:rsid w:val="00DC2ABC"/>
    <w:rsid w:val="00DD3C42"/>
    <w:rsid w:val="00DE34B9"/>
    <w:rsid w:val="00DE49A6"/>
    <w:rsid w:val="00DF1CB2"/>
    <w:rsid w:val="00DF1CDC"/>
    <w:rsid w:val="00DF7119"/>
    <w:rsid w:val="00E00067"/>
    <w:rsid w:val="00E0755C"/>
    <w:rsid w:val="00E207A3"/>
    <w:rsid w:val="00E2596F"/>
    <w:rsid w:val="00E40C60"/>
    <w:rsid w:val="00E4569C"/>
    <w:rsid w:val="00E57563"/>
    <w:rsid w:val="00E604BD"/>
    <w:rsid w:val="00E74026"/>
    <w:rsid w:val="00E77644"/>
    <w:rsid w:val="00E82653"/>
    <w:rsid w:val="00E878C8"/>
    <w:rsid w:val="00E90875"/>
    <w:rsid w:val="00EA5A4B"/>
    <w:rsid w:val="00EA5EC4"/>
    <w:rsid w:val="00EB1E2B"/>
    <w:rsid w:val="00EB2E2F"/>
    <w:rsid w:val="00ED0209"/>
    <w:rsid w:val="00ED1AC7"/>
    <w:rsid w:val="00ED5242"/>
    <w:rsid w:val="00ED6026"/>
    <w:rsid w:val="00EE6C9B"/>
    <w:rsid w:val="00F009FE"/>
    <w:rsid w:val="00F10156"/>
    <w:rsid w:val="00F111FA"/>
    <w:rsid w:val="00F12CA7"/>
    <w:rsid w:val="00F17EBE"/>
    <w:rsid w:val="00F24149"/>
    <w:rsid w:val="00F31770"/>
    <w:rsid w:val="00F33E68"/>
    <w:rsid w:val="00F37152"/>
    <w:rsid w:val="00F40DAC"/>
    <w:rsid w:val="00F4293B"/>
    <w:rsid w:val="00F50F40"/>
    <w:rsid w:val="00F52029"/>
    <w:rsid w:val="00F74943"/>
    <w:rsid w:val="00F74BE7"/>
    <w:rsid w:val="00F7549E"/>
    <w:rsid w:val="00F81541"/>
    <w:rsid w:val="00F85254"/>
    <w:rsid w:val="00F85495"/>
    <w:rsid w:val="00F90EE1"/>
    <w:rsid w:val="00FA11B7"/>
    <w:rsid w:val="00FA4C94"/>
    <w:rsid w:val="00FA6FB8"/>
    <w:rsid w:val="00FB7132"/>
    <w:rsid w:val="00FC1F33"/>
    <w:rsid w:val="00FC7173"/>
    <w:rsid w:val="00FD2805"/>
    <w:rsid w:val="00FD2EDA"/>
    <w:rsid w:val="00FD38DD"/>
    <w:rsid w:val="00FF0B3C"/>
    <w:rsid w:val="00FF7131"/>
    <w:rsid w:val="36562FD3"/>
    <w:rsid w:val="3F6B1664"/>
    <w:rsid w:val="493B6FBF"/>
    <w:rsid w:val="4BF10EA1"/>
    <w:rsid w:val="54AB44CB"/>
    <w:rsid w:val="575A33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unhideWhenUsed/>
    <w:uiPriority w:val="99"/>
    <w:pPr>
      <w:ind w:left="100" w:leftChars="2500"/>
    </w:pPr>
  </w:style>
  <w:style w:type="paragraph" w:styleId="3">
    <w:name w:val="Balloon Text"/>
    <w:basedOn w:val="1"/>
    <w:link w:val="17"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Emphasis"/>
    <w:basedOn w:val="7"/>
    <w:qFormat/>
    <w:uiPriority w:val="20"/>
    <w:rPr>
      <w:i/>
      <w:iCs/>
    </w:rPr>
  </w:style>
  <w:style w:type="character" w:styleId="9">
    <w:name w:val="Hyperlink"/>
    <w:basedOn w:val="7"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列出段落1"/>
    <w:basedOn w:val="1"/>
    <w:qFormat/>
    <w:uiPriority w:val="99"/>
    <w:pPr>
      <w:ind w:firstLine="420" w:firstLineChars="200"/>
    </w:pPr>
  </w:style>
  <w:style w:type="character" w:customStyle="1" w:styleId="13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4"/>
    <w:qFormat/>
    <w:uiPriority w:val="99"/>
    <w:rPr>
      <w:sz w:val="18"/>
      <w:szCs w:val="18"/>
    </w:rPr>
  </w:style>
  <w:style w:type="paragraph" w:customStyle="1" w:styleId="15">
    <w:name w:val="列出段落11"/>
    <w:basedOn w:val="1"/>
    <w:qFormat/>
    <w:uiPriority w:val="34"/>
    <w:pPr>
      <w:ind w:firstLine="420" w:firstLineChars="200"/>
    </w:pPr>
  </w:style>
  <w:style w:type="character" w:customStyle="1" w:styleId="16">
    <w:name w:val="日期 Char"/>
    <w:basedOn w:val="7"/>
    <w:link w:val="2"/>
    <w:semiHidden/>
    <w:qFormat/>
    <w:uiPriority w:val="99"/>
  </w:style>
  <w:style w:type="character" w:customStyle="1" w:styleId="17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0C67B8-4924-4D27-8B86-47D5462E89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556</Words>
  <Characters>3170</Characters>
  <Lines>26</Lines>
  <Paragraphs>7</Paragraphs>
  <ScaleCrop>false</ScaleCrop>
  <LinksUpToDate>false</LinksUpToDate>
  <CharactersWithSpaces>3719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2017-07-13T09:34:00Z</dcterms:created>
  <dc:creator>朱寅风</dc:creator>
  <cp:lastModifiedBy>liu</cp:lastModifiedBy>
  <cp:lastPrinted>2017-07-13T07:53:00Z</cp:lastPrinted>
  <dcterms:modified xsi:type="dcterms:W3CDTF">2017-07-27T09:51:43Z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